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70"/>
        <w:gridCol w:w="1522"/>
        <w:gridCol w:w="1131"/>
        <w:gridCol w:w="1972"/>
        <w:gridCol w:w="1225"/>
      </w:tblGrid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126AC" w:rsidRDefault="00B46E24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126AC">
              <w:rPr>
                <w:b/>
                <w:bCs/>
                <w:lang w:val="sr-Cyrl-CS"/>
              </w:rPr>
              <w:t>Студијски програм: Уметност и дизајн видео-игара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126AC" w:rsidRDefault="00B46E24" w:rsidP="002C08D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7126AC">
              <w:rPr>
                <w:b/>
                <w:bCs/>
                <w:lang w:val="sr-Cyrl-CS"/>
              </w:rPr>
              <w:t>Назив предмета: Увод у студије видео-игара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126AC" w:rsidRDefault="00B46E24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126AC">
              <w:rPr>
                <w:b/>
                <w:bCs/>
                <w:lang w:val="sr-Cyrl-CS"/>
              </w:rPr>
              <w:t>Наставник</w:t>
            </w:r>
            <w:r w:rsidRPr="007126AC">
              <w:rPr>
                <w:b/>
                <w:bCs/>
              </w:rPr>
              <w:t>/наставници</w:t>
            </w:r>
            <w:r w:rsidRPr="007126AC"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7126AC">
              <w:rPr>
                <w:b/>
                <w:bCs/>
              </w:rPr>
              <w:t xml:space="preserve">др </w:t>
            </w:r>
            <w:r w:rsidRPr="007126AC">
              <w:rPr>
                <w:b/>
                <w:bCs/>
                <w:lang w:val="sr-Cyrl-CS"/>
              </w:rPr>
              <w:t xml:space="preserve">Биљана Митровић, научни сарадник </w:t>
            </w:r>
            <w:r w:rsidR="00450447">
              <w:rPr>
                <w:b/>
                <w:bCs/>
                <w:lang w:val="sr-Cyrl-CS"/>
              </w:rPr>
              <w:t>, др Марко Сувајџић</w:t>
            </w:r>
            <w:bookmarkStart w:id="0" w:name="_GoBack"/>
            <w:bookmarkEnd w:id="0"/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126AC" w:rsidRDefault="00B46E24" w:rsidP="002C08D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7126AC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126AC" w:rsidRDefault="00B46E24" w:rsidP="002C08D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7126AC">
              <w:rPr>
                <w:b/>
                <w:bCs/>
                <w:lang w:val="sr-Cyrl-CS"/>
              </w:rPr>
              <w:t>Број ЕСПБ: 3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126AC" w:rsidRDefault="00B46E24" w:rsidP="002C08D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7126AC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7126AC">
              <w:rPr>
                <w:b/>
                <w:bCs/>
              </w:rPr>
              <w:t>Уписане мастер студије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34FF0" w:rsidRDefault="00B46E24" w:rsidP="002C08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734FF0">
              <w:rPr>
                <w:b/>
                <w:bCs/>
                <w:lang w:val="sr-Cyrl-CS"/>
              </w:rPr>
              <w:t>Циљ предмета</w:t>
            </w:r>
          </w:p>
          <w:p w:rsidR="00B46E24" w:rsidRPr="00BA28D8" w:rsidRDefault="00B46E24" w:rsidP="002C08D0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6E0E04">
              <w:rPr>
                <w:bCs/>
                <w:lang w:val="sr-Cyrl-CS"/>
              </w:rPr>
              <w:t>Упознавање студената са различитим теоријским приступима сагледавања и проучавања видео-игара у контекстима</w:t>
            </w:r>
            <w:r>
              <w:rPr>
                <w:bCs/>
                <w:lang w:val="sr-Cyrl-CS"/>
              </w:rPr>
              <w:t>: медија, културе – лудологије у ужем и ширем смислу,</w:t>
            </w:r>
            <w:r w:rsidRPr="006E0E04">
              <w:rPr>
                <w:bCs/>
                <w:lang w:val="sr-Cyrl-CS"/>
              </w:rPr>
              <w:t xml:space="preserve"> представљачких и извођачких уметности – пре свега у областима наратологије, студија филма и перформанса, затим проучавање трансмедијалних и транстекс</w:t>
            </w:r>
            <w:r>
              <w:rPr>
                <w:bCs/>
                <w:lang w:val="sr-Cyrl-CS"/>
              </w:rPr>
              <w:t>т</w:t>
            </w:r>
            <w:r w:rsidRPr="006E0E04">
              <w:rPr>
                <w:bCs/>
                <w:lang w:val="sr-Cyrl-CS"/>
              </w:rPr>
              <w:t xml:space="preserve">уалних веза са текстовима </w:t>
            </w:r>
            <w:r>
              <w:rPr>
                <w:bCs/>
                <w:lang w:val="sr-Cyrl-CS"/>
              </w:rPr>
              <w:t>других</w:t>
            </w:r>
            <w:r w:rsidRPr="006E0E04">
              <w:rPr>
                <w:bCs/>
                <w:lang w:val="sr-Cyrl-CS"/>
              </w:rPr>
              <w:t xml:space="preserve"> медија и уметности</w:t>
            </w:r>
            <w:r>
              <w:rPr>
                <w:bCs/>
                <w:lang w:val="sr-Cyrl-CS"/>
              </w:rPr>
              <w:t>, те представљање теорија виртуелних светова. Стицање увида у теоријско разматрање хибридних форми уско повезаних са видео-играма – машинима, као и примене игара у не-лудичке стврхе (гејмификација).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34FF0" w:rsidRDefault="00B46E24" w:rsidP="002C08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734FF0">
              <w:rPr>
                <w:b/>
                <w:bCs/>
                <w:lang w:val="sr-Cyrl-CS"/>
              </w:rPr>
              <w:t xml:space="preserve">Исход предмета </w:t>
            </w:r>
          </w:p>
          <w:p w:rsidR="00B46E24" w:rsidRPr="00734FF0" w:rsidRDefault="00B46E24" w:rsidP="002C08D0">
            <w:pPr>
              <w:tabs>
                <w:tab w:val="left" w:pos="567"/>
              </w:tabs>
              <w:spacing w:after="60"/>
              <w:ind w:right="141"/>
              <w:jc w:val="both"/>
              <w:rPr>
                <w:lang w:val="sr-Cyrl-CS"/>
              </w:rPr>
            </w:pPr>
            <w:r>
              <w:rPr>
                <w:bCs/>
                <w:lang w:val="sr-Cyrl-CS"/>
              </w:rPr>
              <w:t>Овладавање знањима и п</w:t>
            </w:r>
            <w:r w:rsidRPr="006E0E04">
              <w:rPr>
                <w:bCs/>
              </w:rPr>
              <w:t xml:space="preserve">оседовање стручних </w:t>
            </w:r>
            <w:r>
              <w:rPr>
                <w:bCs/>
              </w:rPr>
              <w:t xml:space="preserve">и </w:t>
            </w:r>
            <w:r w:rsidRPr="006E0E04">
              <w:rPr>
                <w:bCs/>
              </w:rPr>
              <w:t>академских компетенција</w:t>
            </w:r>
            <w:r>
              <w:rPr>
                <w:bCs/>
              </w:rPr>
              <w:t xml:space="preserve"> </w:t>
            </w:r>
            <w:r>
              <w:rPr>
                <w:bCs/>
                <w:lang w:val="sr-Cyrl-CS"/>
              </w:rPr>
              <w:t>за разумевање историје и теорије видео-игара, што омогућава развијено критичко-аналитичко схватање и самостално проучавање и процењивање видео-игара (критика, журнализам, интердисциплинарне академске и стручне праксе), а у сфери праксе могућност свесне</w:t>
            </w:r>
            <w:r>
              <w:rPr>
                <w:bCs/>
                <w:lang w:val="sr-Latn-RS"/>
              </w:rPr>
              <w:t xml:space="preserve"> </w:t>
            </w:r>
            <w:r>
              <w:rPr>
                <w:bCs/>
                <w:lang w:val="sr-Cyrl-CS"/>
              </w:rPr>
              <w:t>(освешћене) артикулације и интерпретације стваралачког процеса и његових резултата, позиционирање сопственог рада у контексту различитих аспеката историје, теорије, правила и модалитета видео-игара, употреба стечених знања у креативној пракси, што је један од предуслова висококвалитетног и иновативног рада и професионалних стандарда.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34FF0" w:rsidRDefault="00B46E24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734FF0">
              <w:rPr>
                <w:b/>
                <w:bCs/>
                <w:lang w:val="sr-Cyrl-CS"/>
              </w:rPr>
              <w:t>Садржај предмета</w:t>
            </w:r>
          </w:p>
          <w:p w:rsidR="00B46E24" w:rsidRPr="00734FF0" w:rsidRDefault="00B46E24" w:rsidP="002C08D0">
            <w:pPr>
              <w:tabs>
                <w:tab w:val="left" w:pos="567"/>
              </w:tabs>
              <w:ind w:right="141"/>
              <w:jc w:val="both"/>
              <w:rPr>
                <w:i/>
                <w:iCs/>
                <w:lang w:val="sr-Cyrl-CS"/>
              </w:rPr>
            </w:pPr>
            <w:r w:rsidRPr="00734FF0">
              <w:rPr>
                <w:i/>
                <w:iCs/>
                <w:lang w:val="sr-Cyrl-CS"/>
              </w:rPr>
              <w:t>Теоријска настава</w:t>
            </w:r>
          </w:p>
          <w:p w:rsidR="00B46E24" w:rsidRPr="00BA28D8" w:rsidRDefault="00B46E24" w:rsidP="002C08D0">
            <w:pPr>
              <w:tabs>
                <w:tab w:val="left" w:pos="567"/>
              </w:tabs>
              <w:ind w:right="141"/>
              <w:jc w:val="both"/>
              <w:rPr>
                <w:i/>
                <w:iCs/>
              </w:rPr>
            </w:pPr>
            <w:r>
              <w:rPr>
                <w:iCs/>
                <w:lang w:val="sr-Cyrl-CS"/>
              </w:rPr>
              <w:t>1.У</w:t>
            </w:r>
            <w:r w:rsidRPr="00BA28D8">
              <w:rPr>
                <w:iCs/>
                <w:lang w:val="sr-Cyrl-CS"/>
              </w:rPr>
              <w:t xml:space="preserve">водни час: </w:t>
            </w:r>
            <w:r>
              <w:rPr>
                <w:iCs/>
                <w:lang w:val="sr-Cyrl-CS"/>
              </w:rPr>
              <w:t>приступиу проучавању</w:t>
            </w:r>
            <w:r w:rsidRPr="00BA28D8">
              <w:rPr>
                <w:iCs/>
                <w:lang w:val="sr-Cyrl-CS"/>
              </w:rPr>
              <w:t xml:space="preserve"> видео-игара, упознавање са терми</w:t>
            </w:r>
            <w:r>
              <w:rPr>
                <w:iCs/>
                <w:lang w:val="sr-Cyrl-CS"/>
              </w:rPr>
              <w:t>нолошким и методолошким оквиром;</w:t>
            </w:r>
            <w:r>
              <w:rPr>
                <w:iCs/>
                <w:lang w:val="sr-Latn-RS"/>
              </w:rPr>
              <w:t xml:space="preserve"> </w:t>
            </w:r>
            <w:r>
              <w:rPr>
                <w:iCs/>
                <w:lang w:val="sr-Cyrl-CS"/>
              </w:rPr>
              <w:t>2. И</w:t>
            </w:r>
            <w:r w:rsidRPr="00BA28D8">
              <w:rPr>
                <w:iCs/>
                <w:lang w:val="sr-Cyrl-CS"/>
              </w:rPr>
              <w:t>сторија и развој видео-игара и пратећег хардвера</w:t>
            </w:r>
            <w:r>
              <w:rPr>
                <w:iCs/>
                <w:lang w:val="sr-Cyrl-CS"/>
              </w:rPr>
              <w:t>; 3. А</w:t>
            </w:r>
            <w:r w:rsidRPr="00BA28D8">
              <w:rPr>
                <w:iCs/>
                <w:lang w:val="sr-Cyrl-CS"/>
              </w:rPr>
              <w:t xml:space="preserve">нтрополошко-социолошки приступ </w:t>
            </w:r>
            <w:r w:rsidRPr="00C34A5D">
              <w:rPr>
                <w:iCs/>
                <w:lang w:val="sr-Cyrl-CS"/>
              </w:rPr>
              <w:t>проучавању видео-игара; 4. Жанрови видео-игара; 5. Видео-игре и (нови) медији; 6. (Видео-)игре у контексту популарне културе; 7. Лудолошки приступ проучавању видео-игара; 8–9. Наратолошки приступ проучавању видео</w:t>
            </w:r>
            <w:r w:rsidRPr="00BA28D8">
              <w:rPr>
                <w:iCs/>
                <w:lang w:val="sr-Cyrl-CS"/>
              </w:rPr>
              <w:t>-игара и теорије виртуелних светова</w:t>
            </w:r>
            <w:r>
              <w:rPr>
                <w:iCs/>
                <w:lang w:val="sr-Cyrl-CS"/>
              </w:rPr>
              <w:t>; 10. Видео-игре и</w:t>
            </w:r>
            <w:r w:rsidRPr="00BA28D8">
              <w:rPr>
                <w:iCs/>
                <w:lang w:val="sr-Cyrl-CS"/>
              </w:rPr>
              <w:t xml:space="preserve"> перформанс</w:t>
            </w:r>
            <w:r>
              <w:rPr>
                <w:iCs/>
                <w:lang w:val="sr-Cyrl-CS"/>
              </w:rPr>
              <w:t xml:space="preserve">; </w:t>
            </w:r>
            <w:r w:rsidRPr="00BA28D8">
              <w:rPr>
                <w:iCs/>
                <w:lang w:val="sr-Cyrl-CS"/>
              </w:rPr>
              <w:t>1</w:t>
            </w:r>
            <w:r>
              <w:rPr>
                <w:iCs/>
                <w:lang w:val="sr-Cyrl-CS"/>
              </w:rPr>
              <w:t>1</w:t>
            </w:r>
            <w:r w:rsidRPr="00BA28D8">
              <w:rPr>
                <w:iCs/>
                <w:lang w:val="sr-Cyrl-CS"/>
              </w:rPr>
              <w:t>–1</w:t>
            </w:r>
            <w:r>
              <w:rPr>
                <w:iCs/>
                <w:lang w:val="sr-Cyrl-CS"/>
              </w:rPr>
              <w:t>2.  В</w:t>
            </w:r>
            <w:r w:rsidRPr="00BA28D8">
              <w:rPr>
                <w:iCs/>
                <w:lang w:val="sr-Cyrl-CS"/>
              </w:rPr>
              <w:t>идео-игре и текстови (других) уметноси и медија: интер</w:t>
            </w:r>
            <w:r>
              <w:rPr>
                <w:iCs/>
                <w:lang w:val="sr-Cyrl-CS"/>
              </w:rPr>
              <w:t xml:space="preserve">текстуалност и </w:t>
            </w:r>
            <w:r w:rsidRPr="00C34A5D">
              <w:rPr>
                <w:iCs/>
                <w:lang w:val="sr-Cyrl-CS"/>
              </w:rPr>
              <w:t>трансмендијалност; 13. Филмске форме у видео-играма: машинима; 14. Гејмификација и друге не-лудичке примене видео-игара; 15. Испит.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E3972" w:rsidRDefault="00B46E24" w:rsidP="002C08D0">
            <w:pPr>
              <w:tabs>
                <w:tab w:val="left" w:pos="567"/>
              </w:tabs>
              <w:rPr>
                <w:b/>
                <w:bCs/>
                <w:color w:val="5B9BD5" w:themeColor="accent1"/>
                <w:lang w:val="sr-Cyrl-CS"/>
              </w:rPr>
            </w:pPr>
            <w:r w:rsidRPr="00734FF0">
              <w:rPr>
                <w:b/>
                <w:bCs/>
                <w:lang w:val="sr-Cyrl-CS"/>
              </w:rPr>
              <w:t xml:space="preserve">Литература </w:t>
            </w:r>
          </w:p>
          <w:p w:rsidR="00B46E24" w:rsidRPr="00734FF0" w:rsidRDefault="00B46E24" w:rsidP="00B46E24">
            <w:pPr>
              <w:pStyle w:val="NormalWeb"/>
              <w:numPr>
                <w:ilvl w:val="0"/>
                <w:numId w:val="1"/>
              </w:numPr>
              <w:spacing w:before="0" w:beforeAutospacing="0" w:after="0"/>
              <w:ind w:left="180" w:hanging="180"/>
              <w:jc w:val="both"/>
              <w:rPr>
                <w:sz w:val="20"/>
                <w:szCs w:val="20"/>
              </w:rPr>
            </w:pPr>
            <w:proofErr w:type="spellStart"/>
            <w:r w:rsidRPr="00734FF0">
              <w:rPr>
                <w:sz w:val="20"/>
                <w:szCs w:val="20"/>
              </w:rPr>
              <w:t>Castronova</w:t>
            </w:r>
            <w:proofErr w:type="spellEnd"/>
            <w:r w:rsidRPr="00734FF0">
              <w:rPr>
                <w:sz w:val="20"/>
                <w:szCs w:val="20"/>
              </w:rPr>
              <w:t xml:space="preserve">, Edward. 2005. </w:t>
            </w:r>
            <w:r w:rsidRPr="00734FF0">
              <w:rPr>
                <w:i/>
                <w:iCs/>
                <w:sz w:val="20"/>
                <w:szCs w:val="20"/>
              </w:rPr>
              <w:t>Synthetic Worlds: The Business and Culture of Online Games.</w:t>
            </w:r>
            <w:r w:rsidRPr="00734FF0">
              <w:rPr>
                <w:sz w:val="20"/>
                <w:szCs w:val="20"/>
              </w:rPr>
              <w:t xml:space="preserve"> Chicago and London: University Of Chicago Press.</w:t>
            </w:r>
          </w:p>
          <w:p w:rsidR="00B46E24" w:rsidRPr="003D5FFD" w:rsidRDefault="00B46E24" w:rsidP="00B46E24">
            <w:pPr>
              <w:pStyle w:val="NormalWeb"/>
              <w:numPr>
                <w:ilvl w:val="0"/>
                <w:numId w:val="1"/>
              </w:numPr>
              <w:tabs>
                <w:tab w:val="left" w:pos="360"/>
              </w:tabs>
              <w:spacing w:before="0" w:beforeAutospacing="0" w:after="0"/>
              <w:ind w:left="180" w:hanging="180"/>
              <w:jc w:val="both"/>
              <w:rPr>
                <w:sz w:val="20"/>
                <w:szCs w:val="20"/>
              </w:rPr>
            </w:pPr>
            <w:r w:rsidRPr="007E3972">
              <w:rPr>
                <w:color w:val="000000"/>
                <w:sz w:val="20"/>
                <w:szCs w:val="20"/>
                <w:lang w:val="de-DE"/>
              </w:rPr>
              <w:t>Manovič, Lev</w:t>
            </w:r>
            <w:r w:rsidRPr="003D5FFD">
              <w:rPr>
                <w:color w:val="000000"/>
                <w:sz w:val="20"/>
                <w:szCs w:val="20"/>
                <w:lang w:val="sr-Cyrl-CS"/>
              </w:rPr>
              <w:t>.</w:t>
            </w:r>
            <w:r w:rsidRPr="007E3972">
              <w:rPr>
                <w:color w:val="000000"/>
                <w:sz w:val="20"/>
                <w:szCs w:val="20"/>
                <w:lang w:val="de-DE"/>
              </w:rPr>
              <w:t xml:space="preserve"> 2015</w:t>
            </w:r>
            <w:r w:rsidRPr="003D5FFD">
              <w:rPr>
                <w:color w:val="000000"/>
                <w:sz w:val="20"/>
                <w:szCs w:val="20"/>
                <w:lang w:val="sr-Cyrl-CS"/>
              </w:rPr>
              <w:t>.</w:t>
            </w:r>
            <w:r w:rsidRPr="007E3972">
              <w:rPr>
                <w:i/>
                <w:color w:val="000000"/>
                <w:sz w:val="20"/>
                <w:szCs w:val="20"/>
                <w:lang w:val="de-DE"/>
              </w:rPr>
              <w:t>Jezik novih medija</w:t>
            </w:r>
            <w:r w:rsidRPr="007E3972">
              <w:rPr>
                <w:color w:val="000000"/>
                <w:sz w:val="20"/>
                <w:szCs w:val="20"/>
                <w:lang w:val="de-DE"/>
              </w:rPr>
              <w:t xml:space="preserve">. </w:t>
            </w:r>
            <w:r w:rsidRPr="003D5FFD">
              <w:rPr>
                <w:color w:val="000000"/>
                <w:sz w:val="20"/>
                <w:szCs w:val="20"/>
              </w:rPr>
              <w:t>Beograd: Clio</w:t>
            </w:r>
          </w:p>
          <w:p w:rsidR="00B46E24" w:rsidRPr="00734FF0" w:rsidRDefault="00B46E24" w:rsidP="00B46E24">
            <w:pPr>
              <w:pStyle w:val="ListParagraph"/>
              <w:numPr>
                <w:ilvl w:val="0"/>
                <w:numId w:val="1"/>
              </w:numPr>
              <w:tabs>
                <w:tab w:val="right" w:pos="90"/>
                <w:tab w:val="left" w:pos="180"/>
                <w:tab w:val="left" w:pos="270"/>
              </w:tabs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4FF0">
              <w:rPr>
                <w:rFonts w:ascii="Times New Roman" w:hAnsi="Times New Roman"/>
                <w:sz w:val="20"/>
                <w:szCs w:val="20"/>
                <w:lang w:val="sr-Cyrl-CS"/>
              </w:rPr>
              <w:t>Ryan, Marie-Laure. 20</w:t>
            </w:r>
            <w:r w:rsidRPr="00734FF0">
              <w:rPr>
                <w:rFonts w:ascii="Times New Roman" w:hAnsi="Times New Roman"/>
                <w:sz w:val="20"/>
                <w:szCs w:val="20"/>
              </w:rPr>
              <w:t>15</w:t>
            </w:r>
            <w:r w:rsidRPr="00734FF0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734FF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Narrative as Virtual Reality</w:t>
            </w:r>
            <w:r w:rsidRPr="00734FF0">
              <w:rPr>
                <w:rFonts w:ascii="Times New Roman" w:hAnsi="Times New Roman"/>
                <w:i/>
                <w:sz w:val="20"/>
                <w:szCs w:val="20"/>
              </w:rPr>
              <w:t xml:space="preserve"> 2</w:t>
            </w:r>
            <w:r w:rsidRPr="00734FF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, </w:t>
            </w:r>
            <w:r w:rsidRPr="00734FF0">
              <w:rPr>
                <w:rFonts w:ascii="Times New Roman" w:hAnsi="Times New Roman"/>
                <w:i/>
                <w:sz w:val="20"/>
                <w:szCs w:val="20"/>
              </w:rPr>
              <w:t xml:space="preserve">Revisiting </w:t>
            </w:r>
            <w:r w:rsidRPr="00734FF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Immersion and Interactivityin Literature and Electronic Media</w:t>
            </w:r>
            <w:r w:rsidRPr="00734FF0">
              <w:rPr>
                <w:rFonts w:ascii="Times New Roman" w:hAnsi="Times New Roman"/>
                <w:sz w:val="20"/>
                <w:szCs w:val="20"/>
                <w:lang w:val="sr-Cyrl-CS"/>
              </w:rPr>
              <w:t>, Baltimor</w:t>
            </w:r>
            <w:r w:rsidRPr="00734FF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734FF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The Johns Hopkins University Press </w:t>
            </w:r>
          </w:p>
          <w:p w:rsidR="00B46E24" w:rsidRPr="00734FF0" w:rsidRDefault="00B46E24" w:rsidP="00B46E24">
            <w:pPr>
              <w:pStyle w:val="NormalWeb"/>
              <w:numPr>
                <w:ilvl w:val="0"/>
                <w:numId w:val="1"/>
              </w:numPr>
              <w:tabs>
                <w:tab w:val="right" w:pos="90"/>
                <w:tab w:val="left" w:pos="270"/>
              </w:tabs>
              <w:spacing w:before="0" w:beforeAutospacing="0" w:after="0"/>
              <w:ind w:left="180" w:hanging="180"/>
              <w:jc w:val="both"/>
              <w:rPr>
                <w:sz w:val="20"/>
                <w:szCs w:val="20"/>
                <w:lang w:val="sr-Latn-CS"/>
              </w:rPr>
            </w:pPr>
            <w:r w:rsidRPr="00734FF0">
              <w:rPr>
                <w:sz w:val="20"/>
                <w:szCs w:val="20"/>
              </w:rPr>
              <w:t>Ryan, Marie-Laure and Thon, Jan-Noël (Eds.</w:t>
            </w:r>
            <w:proofErr w:type="gramStart"/>
            <w:r w:rsidRPr="00734FF0">
              <w:rPr>
                <w:sz w:val="20"/>
                <w:szCs w:val="20"/>
              </w:rPr>
              <w:t>)</w:t>
            </w:r>
            <w:r w:rsidRPr="00734FF0">
              <w:rPr>
                <w:sz w:val="20"/>
                <w:szCs w:val="20"/>
                <w:lang w:val="sr-Latn-CS"/>
              </w:rPr>
              <w:t>2014</w:t>
            </w:r>
            <w:proofErr w:type="gramEnd"/>
            <w:r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734FF0">
              <w:rPr>
                <w:i/>
                <w:sz w:val="20"/>
                <w:szCs w:val="20"/>
              </w:rPr>
              <w:t>Storyworlds</w:t>
            </w:r>
            <w:proofErr w:type="spellEnd"/>
            <w:r w:rsidRPr="00734FF0">
              <w:rPr>
                <w:i/>
                <w:sz w:val="20"/>
                <w:szCs w:val="20"/>
              </w:rPr>
              <w:t xml:space="preserve"> across Media: Toward a Media-Conscious Narratology</w:t>
            </w:r>
            <w:r w:rsidRPr="00734FF0">
              <w:rPr>
                <w:sz w:val="20"/>
                <w:szCs w:val="20"/>
                <w:lang w:val="sr-Latn-CS"/>
              </w:rPr>
              <w:t xml:space="preserve"> Lincoln and London: University of Nebraska Press</w:t>
            </w:r>
          </w:p>
          <w:p w:rsidR="00B46E24" w:rsidRDefault="00B46E24" w:rsidP="00B46E24">
            <w:pPr>
              <w:pStyle w:val="ListParagraph"/>
              <w:numPr>
                <w:ilvl w:val="0"/>
                <w:numId w:val="1"/>
              </w:numPr>
              <w:tabs>
                <w:tab w:val="right" w:pos="90"/>
                <w:tab w:val="left" w:pos="180"/>
                <w:tab w:val="left" w:pos="270"/>
              </w:tabs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4FF0">
              <w:rPr>
                <w:rFonts w:ascii="Times New Roman" w:hAnsi="Times New Roman"/>
                <w:sz w:val="20"/>
                <w:szCs w:val="20"/>
              </w:rPr>
              <w:t xml:space="preserve">Salen, K., and E. Zimmerman.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2005. </w:t>
            </w:r>
            <w:r w:rsidRPr="00734FF0">
              <w:rPr>
                <w:rFonts w:ascii="Times New Roman" w:hAnsi="Times New Roman"/>
                <w:i/>
                <w:iCs/>
                <w:sz w:val="20"/>
                <w:szCs w:val="20"/>
              </w:rPr>
              <w:t>The Game Design Reader: A Rules of Play Anthology</w:t>
            </w:r>
            <w:r w:rsidRPr="00734FF0">
              <w:rPr>
                <w:rFonts w:ascii="Times New Roman" w:hAnsi="Times New Roman"/>
                <w:sz w:val="20"/>
                <w:szCs w:val="20"/>
              </w:rPr>
              <w:t>. Cambridge,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MA: MIT University Press</w:t>
            </w:r>
          </w:p>
          <w:p w:rsidR="00B46E24" w:rsidRPr="00734FF0" w:rsidRDefault="00B46E24" w:rsidP="00B46E24">
            <w:pPr>
              <w:pStyle w:val="ListParagraph"/>
              <w:numPr>
                <w:ilvl w:val="0"/>
                <w:numId w:val="1"/>
              </w:numPr>
              <w:tabs>
                <w:tab w:val="right" w:pos="90"/>
                <w:tab w:val="left" w:pos="180"/>
                <w:tab w:val="left" w:pos="270"/>
              </w:tabs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4FF0">
              <w:rPr>
                <w:rFonts w:ascii="Times New Roman" w:hAnsi="Times New Roman"/>
                <w:sz w:val="20"/>
                <w:szCs w:val="20"/>
              </w:rPr>
              <w:t>Wolf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734FF0">
              <w:rPr>
                <w:rFonts w:ascii="Times New Roman" w:hAnsi="Times New Roman"/>
                <w:sz w:val="20"/>
                <w:szCs w:val="20"/>
              </w:rPr>
              <w:t xml:space="preserve">  Mark J. P (ed.) 2012. </w:t>
            </w:r>
            <w:r w:rsidRPr="00734FF0">
              <w:rPr>
                <w:rFonts w:ascii="Times New Roman" w:hAnsi="Times New Roman"/>
                <w:i/>
                <w:sz w:val="20"/>
                <w:szCs w:val="20"/>
              </w:rPr>
              <w:t>Encyclopedia of Video Games The Culture,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Technology, and Art of Gaming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, </w:t>
            </w:r>
            <w:r w:rsidRPr="00734FF0">
              <w:rPr>
                <w:rFonts w:ascii="Times New Roman" w:hAnsi="Times New Roman"/>
                <w:sz w:val="20"/>
                <w:szCs w:val="20"/>
              </w:rPr>
              <w:t>Santa Barbara, Denver, Oxford: Greenwood</w:t>
            </w:r>
          </w:p>
          <w:p w:rsidR="00B46E24" w:rsidRPr="00734FF0" w:rsidRDefault="00B46E24" w:rsidP="00B46E24">
            <w:pPr>
              <w:pStyle w:val="ListParagraph"/>
              <w:numPr>
                <w:ilvl w:val="0"/>
                <w:numId w:val="1"/>
              </w:numPr>
              <w:tabs>
                <w:tab w:val="right" w:pos="90"/>
                <w:tab w:val="left" w:pos="180"/>
                <w:tab w:val="left" w:pos="270"/>
              </w:tabs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3972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Wolf Mark J. P., Perron,Bernard. </w:t>
            </w:r>
            <w:r w:rsidRPr="00734FF0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2014. </w:t>
            </w:r>
            <w:r w:rsidRPr="00734FF0">
              <w:rPr>
                <w:rFonts w:ascii="Times New Roman" w:hAnsi="Times New Roman"/>
                <w:i/>
                <w:sz w:val="20"/>
                <w:szCs w:val="20"/>
              </w:rPr>
              <w:t>The Routledge Companion to Video Game Studies Edited.</w:t>
            </w:r>
            <w:r w:rsidRPr="00734FF0">
              <w:rPr>
                <w:rFonts w:ascii="Times New Roman" w:hAnsi="Times New Roman"/>
                <w:sz w:val="20"/>
                <w:szCs w:val="20"/>
              </w:rPr>
              <w:t xml:space="preserve"> New York and London: Routledge</w:t>
            </w:r>
          </w:p>
          <w:p w:rsidR="00B46E24" w:rsidRPr="00734FF0" w:rsidRDefault="00B46E24" w:rsidP="00B46E24">
            <w:pPr>
              <w:pStyle w:val="ListParagraph"/>
              <w:numPr>
                <w:ilvl w:val="0"/>
                <w:numId w:val="1"/>
              </w:numPr>
              <w:tabs>
                <w:tab w:val="right" w:pos="90"/>
                <w:tab w:val="left" w:pos="180"/>
                <w:tab w:val="left" w:pos="270"/>
              </w:tabs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4FF0">
              <w:rPr>
                <w:rFonts w:ascii="Times New Roman" w:hAnsi="Times New Roman"/>
                <w:sz w:val="20"/>
                <w:szCs w:val="20"/>
              </w:rPr>
              <w:t xml:space="preserve">Yee Nick. 2014. </w:t>
            </w:r>
            <w:r w:rsidRPr="00734FF0">
              <w:rPr>
                <w:rFonts w:ascii="Times New Roman" w:hAnsi="Times New Roman"/>
                <w:i/>
                <w:sz w:val="20"/>
                <w:szCs w:val="20"/>
              </w:rPr>
              <w:t>The Proteus Paradox – How Online Games and Virtual Worlds Change Us and How They Don't.</w:t>
            </w:r>
            <w:r w:rsidRPr="00734FF0">
              <w:rPr>
                <w:rFonts w:ascii="Times New Roman" w:hAnsi="Times New Roman"/>
                <w:sz w:val="20"/>
                <w:szCs w:val="20"/>
              </w:rPr>
              <w:t xml:space="preserve"> New Haven: Yale University Press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3168" w:type="dxa"/>
            <w:vAlign w:val="center"/>
          </w:tcPr>
          <w:p w:rsidR="00B46E24" w:rsidRPr="007130D9" w:rsidRDefault="00B46E2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130D9">
              <w:rPr>
                <w:b/>
                <w:bCs/>
                <w:lang w:val="sr-Cyrl-CS"/>
              </w:rPr>
              <w:t xml:space="preserve">Број часова </w:t>
            </w:r>
            <w:r w:rsidRPr="007130D9">
              <w:rPr>
                <w:b/>
                <w:lang w:val="sr-Cyrl-CS"/>
              </w:rPr>
              <w:t xml:space="preserve"> активне наставе</w:t>
            </w:r>
            <w:r w:rsidRPr="007130D9">
              <w:rPr>
                <w:b/>
              </w:rPr>
              <w:t>: 2</w:t>
            </w:r>
          </w:p>
        </w:tc>
        <w:tc>
          <w:tcPr>
            <w:tcW w:w="2923" w:type="dxa"/>
            <w:gridSpan w:val="3"/>
            <w:vAlign w:val="center"/>
          </w:tcPr>
          <w:p w:rsidR="00B46E24" w:rsidRPr="007130D9" w:rsidRDefault="00B46E2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130D9">
              <w:rPr>
                <w:b/>
                <w:lang w:val="sr-Cyrl-CS"/>
              </w:rPr>
              <w:t>Теоријска настава:</w:t>
            </w:r>
            <w:r w:rsidRPr="007130D9">
              <w:rPr>
                <w:b/>
              </w:rPr>
              <w:t xml:space="preserve"> 2</w:t>
            </w:r>
          </w:p>
        </w:tc>
        <w:tc>
          <w:tcPr>
            <w:tcW w:w="3197" w:type="dxa"/>
            <w:gridSpan w:val="2"/>
            <w:vAlign w:val="center"/>
          </w:tcPr>
          <w:p w:rsidR="00B46E24" w:rsidRPr="00485BC2" w:rsidRDefault="00B46E2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34FF0">
              <w:rPr>
                <w:b/>
                <w:lang w:val="sr-Cyrl-CS"/>
              </w:rPr>
              <w:t>Практична настава:</w:t>
            </w:r>
            <w:r>
              <w:rPr>
                <w:b/>
              </w:rPr>
              <w:t xml:space="preserve"> 0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34FF0" w:rsidRDefault="00B46E24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734FF0">
              <w:rPr>
                <w:b/>
                <w:bCs/>
                <w:lang w:val="sr-Cyrl-CS"/>
              </w:rPr>
              <w:t>Методе извођења наставе</w:t>
            </w:r>
          </w:p>
          <w:p w:rsidR="00B46E24" w:rsidRPr="000B48B2" w:rsidRDefault="00B46E24" w:rsidP="002C08D0">
            <w:pPr>
              <w:tabs>
                <w:tab w:val="left" w:pos="567"/>
              </w:tabs>
              <w:rPr>
                <w:color w:val="5B9BD5" w:themeColor="accent1"/>
                <w:lang w:val="sr-Cyrl-CS"/>
              </w:rPr>
            </w:pPr>
            <w:r w:rsidRPr="00734FF0">
              <w:t xml:space="preserve">Теоријска предавања, </w:t>
            </w:r>
            <w:r w:rsidRPr="00734FF0">
              <w:rPr>
                <w:lang w:val="sr-Cyrl-CS"/>
              </w:rPr>
              <w:t xml:space="preserve">приказивање одговарајућег видео-материјала, </w:t>
            </w:r>
            <w:r w:rsidRPr="00734FF0">
              <w:t>дискусије са студ</w:t>
            </w:r>
            <w:r>
              <w:t xml:space="preserve">ентима и  извођења истраживања </w:t>
            </w:r>
            <w:r>
              <w:rPr>
                <w:lang w:val="sr-Cyrl-CS"/>
              </w:rPr>
              <w:t>и анализе н</w:t>
            </w:r>
            <w:r w:rsidRPr="00734FF0">
              <w:t xml:space="preserve">а студијама случаја. Писање и усмена одбрана </w:t>
            </w:r>
            <w:r w:rsidRPr="00714FA1">
              <w:t>семинарског рада.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9288" w:type="dxa"/>
            <w:gridSpan w:val="6"/>
            <w:vAlign w:val="center"/>
          </w:tcPr>
          <w:p w:rsidR="00B46E24" w:rsidRPr="00734FF0" w:rsidRDefault="00B46E24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34FF0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3438" w:type="dxa"/>
            <w:gridSpan w:val="2"/>
            <w:vAlign w:val="center"/>
          </w:tcPr>
          <w:p w:rsidR="00B46E24" w:rsidRPr="00734FF0" w:rsidRDefault="00B46E24" w:rsidP="002C08D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734FF0">
              <w:rPr>
                <w:b/>
                <w:iCs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522" w:type="dxa"/>
            <w:vAlign w:val="center"/>
          </w:tcPr>
          <w:p w:rsidR="00B46E24" w:rsidRPr="00051090" w:rsidRDefault="00B46E24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lang w:val="sr-Cyrl-CS"/>
              </w:rPr>
              <w:t xml:space="preserve">60 </w:t>
            </w:r>
            <w:r w:rsidRPr="00051090">
              <w:rPr>
                <w:lang w:val="sr-Cyrl-CS"/>
              </w:rPr>
              <w:t>поена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B46E24" w:rsidRPr="00734FF0" w:rsidRDefault="00B46E24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34FF0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B46E24" w:rsidRPr="000B48B2" w:rsidRDefault="00B46E24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40 п</w:t>
            </w:r>
            <w:r w:rsidRPr="00734FF0">
              <w:rPr>
                <w:lang w:val="sr-Cyrl-CS"/>
              </w:rPr>
              <w:t>оена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3438" w:type="dxa"/>
            <w:gridSpan w:val="2"/>
            <w:vAlign w:val="center"/>
          </w:tcPr>
          <w:p w:rsidR="00B46E24" w:rsidRPr="000B48B2" w:rsidRDefault="00B46E24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48B2">
              <w:rPr>
                <w:lang w:val="sr-Cyrl-CS"/>
              </w:rPr>
              <w:t>активност у току предавања</w:t>
            </w:r>
          </w:p>
        </w:tc>
        <w:tc>
          <w:tcPr>
            <w:tcW w:w="1522" w:type="dxa"/>
            <w:vAlign w:val="center"/>
          </w:tcPr>
          <w:p w:rsidR="00B46E24" w:rsidRPr="000B48B2" w:rsidRDefault="00B46E24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0B48B2">
              <w:rPr>
                <w:bCs/>
                <w:lang w:val="sr-Cyrl-CS"/>
              </w:rPr>
              <w:t>20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B46E24" w:rsidRPr="000B48B2" w:rsidRDefault="00B46E24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48B2">
              <w:rPr>
                <w:lang w:val="sr-Cyrl-CS"/>
              </w:rPr>
              <w:t xml:space="preserve">усмени испт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B46E24" w:rsidRPr="000B48B2" w:rsidRDefault="00B46E24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0B48B2">
              <w:rPr>
                <w:iCs/>
                <w:lang w:val="sr-Cyrl-CS"/>
              </w:rPr>
              <w:t>40</w:t>
            </w:r>
          </w:p>
        </w:tc>
      </w:tr>
      <w:tr w:rsidR="00B46E24" w:rsidRPr="00734FF0" w:rsidTr="002C08D0">
        <w:trPr>
          <w:trHeight w:val="227"/>
          <w:jc w:val="center"/>
        </w:trPr>
        <w:tc>
          <w:tcPr>
            <w:tcW w:w="3438" w:type="dxa"/>
            <w:gridSpan w:val="2"/>
            <w:vAlign w:val="center"/>
          </w:tcPr>
          <w:p w:rsidR="00B46E24" w:rsidRPr="00233EDF" w:rsidRDefault="00B46E24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с</w:t>
            </w:r>
            <w:r w:rsidRPr="00233EDF">
              <w:rPr>
                <w:iCs/>
                <w:lang w:val="sr-Cyrl-CS"/>
              </w:rPr>
              <w:t xml:space="preserve">еминарски рад </w:t>
            </w:r>
          </w:p>
        </w:tc>
        <w:tc>
          <w:tcPr>
            <w:tcW w:w="1522" w:type="dxa"/>
            <w:vAlign w:val="center"/>
          </w:tcPr>
          <w:p w:rsidR="00B46E24" w:rsidRPr="000B48B2" w:rsidRDefault="00B46E24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0B48B2">
              <w:rPr>
                <w:bCs/>
                <w:lang w:val="sr-Cyrl-CS"/>
              </w:rPr>
              <w:t>40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B46E24" w:rsidRPr="000B48B2" w:rsidRDefault="00B46E24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B46E24" w:rsidRPr="000B48B2" w:rsidRDefault="00B46E24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031DB1"/>
    <w:multiLevelType w:val="hybridMultilevel"/>
    <w:tmpl w:val="986A8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24"/>
    <w:rsid w:val="00450447"/>
    <w:rsid w:val="008C62A5"/>
    <w:rsid w:val="00B46E24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186192-BA94-4F0E-96B8-FFA9EE2D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E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B46E24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  <w:style w:type="paragraph" w:styleId="NormalWeb">
    <w:name w:val="Normal (Web)"/>
    <w:basedOn w:val="Normal"/>
    <w:rsid w:val="00B46E24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2020-09-16T10:22:00Z</dcterms:created>
  <dcterms:modified xsi:type="dcterms:W3CDTF">2020-09-16T19:17:00Z</dcterms:modified>
</cp:coreProperties>
</file>